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4D286844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B358BD">
              <w:rPr>
                <w:sz w:val="28"/>
                <w:szCs w:val="28"/>
              </w:rPr>
              <w:t>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6DB325E7" w:rsidR="00E22CE3" w:rsidRPr="008077F2" w:rsidRDefault="008077F2" w:rsidP="00E22CE3">
      <w:pPr>
        <w:spacing w:line="360" w:lineRule="auto"/>
        <w:jc w:val="center"/>
        <w:rPr>
          <w:bCs/>
          <w:u w:val="single"/>
        </w:rPr>
      </w:pPr>
      <w:bookmarkStart w:id="1" w:name="_GoBack"/>
      <w:r w:rsidRPr="008077F2">
        <w:rPr>
          <w:bCs/>
          <w:sz w:val="28"/>
          <w:szCs w:val="28"/>
          <w:u w:val="single"/>
        </w:rPr>
        <w:t>БУХГАЛТЕРСКИЙ УЧЕТ И ОТЧЕТНОСТЬ</w:t>
      </w:r>
      <w:bookmarkEnd w:id="1"/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0CC1F66F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A92BF2">
        <w:rPr>
          <w:color w:val="000000"/>
          <w:sz w:val="28"/>
          <w:szCs w:val="28"/>
        </w:rPr>
        <w:t xml:space="preserve"> (очная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0D599F7" w14:textId="25E631CE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«Экономика и финансы»</w:t>
      </w:r>
    </w:p>
    <w:p w14:paraId="576533CF" w14:textId="5B3E652F" w:rsidR="00E22CE3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 / направленность </w:t>
      </w:r>
      <w:r w:rsidR="00321DD8">
        <w:rPr>
          <w:color w:val="000000"/>
          <w:sz w:val="28"/>
          <w:szCs w:val="28"/>
        </w:rPr>
        <w:t>Финансы и банковское дело</w:t>
      </w:r>
      <w:r w:rsidR="00A92BF2">
        <w:rPr>
          <w:color w:val="000000"/>
          <w:sz w:val="28"/>
          <w:szCs w:val="28"/>
        </w:rPr>
        <w:t xml:space="preserve"> (очная форма обучения)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292D1B4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025247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CB791C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CB791C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CB791C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CB791C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CB791C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AE04607" w:rsidR="00A93052" w:rsidRPr="00A93052" w:rsidRDefault="00321DD8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Бухгалтерский учет и отчетность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5B2E59AF" w14:textId="6C17A47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1. Налоговый кодекс РФ</w:t>
      </w:r>
      <w:r w:rsidR="0080488E">
        <w:rPr>
          <w:sz w:val="28"/>
          <w:szCs w:val="28"/>
          <w:lang w:eastAsia="en-US"/>
        </w:rPr>
        <w:t xml:space="preserve"> (действующая редакция) // СПС «Консультант плюс»</w:t>
      </w:r>
    </w:p>
    <w:p w14:paraId="1C337C7F" w14:textId="30A893E1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2. Федеральный закон от 06.12.2011 № 402-ФЗ «О бухгалтерском учёте»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914A4CC" w14:textId="795EF778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3. Федеральный закон от 26.10.2002 № 127-ФЗ «О несостоятельности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(банкротстве)»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501EBF4" w14:textId="712C26B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4. Положение по ведению бухгалтерского учёта и бухгалтерской отчётности в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Российской Федерации, утверждённое приказом Минфина РФ от 29.07.1998 № 34н</w:t>
      </w:r>
      <w:r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65401DB4" w14:textId="31F2FF0B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5. Положение по бухгалтерскому учёту «Бухгалтерская отчётность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организации» (ПБУ 4/99), утверждённое приказом Минфина РФ от 06.07. 1999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43н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1B8D7268" w14:textId="27A1825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6. Положение по бухгалтерскому учёту «Доходы организации» (ПБУ 9/99),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утверждённое приказом Минфина РФ от 06.05.1999 № 32н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67285AB" w14:textId="1C2150A5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7. Положение по бухгалтерскому учёту «Расходы организации» (ПБУ 10/99),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утверждённое приказом Минфина РФ от 06.05.1999 № 33н (в посл. ред. от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27.04.2012 № 55н)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C9520D1" w14:textId="5EF55C32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8. Положение по бухгалтерскому учёту «Учёт расчётов по налогу на прибыль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организаций» (ПБУ 18/02), утверждённое приказом Минфина РФ от 19.11.2002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114н (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AB2EB20" w14:textId="1C63E51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9. Положение по бухгалтерскому учёту «Отчёт о движении денежных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средств» (ПБУ 23/2011), утверждённое приказом Минфина РФ от 02.02.2011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11н.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4B0FBDD" w14:textId="6C694719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10. Приказ Минфина РФ от 02.07.2010 № 66н «О формах бухгалтерской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отчётности организаций»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  <w:r w:rsidRPr="00321DD8">
        <w:rPr>
          <w:sz w:val="28"/>
          <w:szCs w:val="28"/>
          <w:lang w:eastAsia="en-US"/>
        </w:rPr>
        <w:t>.</w:t>
      </w:r>
    </w:p>
    <w:p w14:paraId="375E1BB8" w14:textId="77777777" w:rsid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2D691E3B" w:rsidR="000B4E0D" w:rsidRDefault="00422EEA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80488E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025247" w:rsidRPr="00025247">
        <w:rPr>
          <w:sz w:val="28"/>
          <w:szCs w:val="28"/>
          <w:lang w:eastAsia="en-US"/>
        </w:rPr>
        <w:t xml:space="preserve">Алексеева, Г.И. Бухгалтерский учет и отчетность : учебник / Алексеева Г.И. — Москва : КноРус, 2021. — 410 с. —URL: https://book.ru/book/938430    </w:t>
      </w:r>
    </w:p>
    <w:p w14:paraId="29BD3AEC" w14:textId="51DDB7EA" w:rsidR="0080488E" w:rsidRDefault="0080488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="00025247" w:rsidRPr="00025247">
        <w:rPr>
          <w:sz w:val="28"/>
          <w:szCs w:val="28"/>
          <w:lang w:eastAsia="en-US"/>
        </w:rPr>
        <w:t>Домбровская, Е. Н., Бухгалтерский учет и отчетность. Сборник заданий для аудиторной и внеаудиторной самостоятельной работы студентов : учебное пособие / Е. Н. Домбровская. — Москва : Русайнс, 2021. — 140 с. — URL: https://book.ru/book/940299</w:t>
      </w:r>
    </w:p>
    <w:p w14:paraId="2C6C5B08" w14:textId="5DA1FFFB" w:rsidR="000B4E0D" w:rsidRPr="000B4E0D" w:rsidRDefault="0080488E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13. </w:t>
      </w:r>
      <w:r w:rsidR="00025247" w:rsidRPr="00025247">
        <w:rPr>
          <w:sz w:val="28"/>
          <w:szCs w:val="28"/>
          <w:lang w:eastAsia="en-US"/>
        </w:rPr>
        <w:t xml:space="preserve">Кондраков, Н. П. Бухгалтерский учет (финансовый и управленческий) : учебник / Н.П. Кондраков. — 5-е изд., перераб. и доп. — Москва : ИНФРА-М, 2020. — 584 с. URL: https://znanium.ru/catalog/product/1043832 </w:t>
      </w:r>
      <w:r w:rsidRPr="0080488E">
        <w:rPr>
          <w:sz w:val="28"/>
          <w:szCs w:val="28"/>
          <w:lang w:eastAsia="en-US"/>
        </w:rPr>
        <w:t xml:space="preserve"> </w:t>
      </w:r>
    </w:p>
    <w:p w14:paraId="4CA85E93" w14:textId="77777777" w:rsidR="0080488E" w:rsidRDefault="0080488E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47D2FCA4" w14:textId="58EF6DC5" w:rsidR="000B4E0D" w:rsidRPr="000B4E0D" w:rsidRDefault="0080488E" w:rsidP="00025247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14</w:t>
      </w:r>
      <w:r w:rsidR="00422EEA">
        <w:rPr>
          <w:sz w:val="28"/>
          <w:szCs w:val="28"/>
          <w:lang w:eastAsia="en-US"/>
        </w:rPr>
        <w:t xml:space="preserve">. </w:t>
      </w:r>
      <w:r w:rsidR="00025247" w:rsidRPr="00025247">
        <w:rPr>
          <w:sz w:val="28"/>
          <w:szCs w:val="28"/>
          <w:lang w:eastAsia="en-US"/>
        </w:rPr>
        <w:t>Алексеева, Г. И.  Бухгалтерский финансовый учет. Расчеты по оплате труда : учебное пособие для вузов / Г. И. Алексеева. — 3-е изд., пере-раб. и доп. — Москва : Издательство Юрайт, 2024. — 215 с. — URL: https://urait.ru/bcode/534049</w:t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FB6EB4A" w14:textId="2CB09BB4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Гарант: [Информационно-правовой портал]. – URL: http:// </w:t>
      </w:r>
      <w:hyperlink r:id="rId10" w:history="1">
        <w:r w:rsidRPr="00432CDA">
          <w:rPr>
            <w:rStyle w:val="a6"/>
            <w:sz w:val="28"/>
            <w:szCs w:val="28"/>
            <w:lang w:eastAsia="en-US"/>
          </w:rPr>
          <w:t>www.garant.ru</w:t>
        </w:r>
      </w:hyperlink>
      <w:r w:rsidRPr="0080488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Доступ свободный.</w:t>
      </w:r>
    </w:p>
    <w:p w14:paraId="31A7A24B" w14:textId="7FBE85B0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2. Главбух: [Электронный журнал]. – URL: http:// www.glavburh.ru. Доступ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свободный.</w:t>
      </w:r>
    </w:p>
    <w:p w14:paraId="226476D3" w14:textId="0130BAC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3. Компания «Консультант Плюс»: [Официальный сайт]. –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URL:http://www.consultant.ru. Доступ свободный.</w:t>
      </w:r>
    </w:p>
    <w:p w14:paraId="44D4ADF8" w14:textId="75EC296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4. Научно-практический и аналитический журнал. – URL: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http://www.finizdat.ru.</w:t>
      </w:r>
    </w:p>
    <w:p w14:paraId="0C03D42C" w14:textId="1ADC5271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5. Федеральная ЭБС «Единое окно доступа к образовательным ресурсам»: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[Сайт]. – URL: http://window.edu.ru. Доступ свободный.</w:t>
      </w:r>
    </w:p>
    <w:p w14:paraId="3ED63BDF" w14:textId="4D2312EA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6. Электронно-библиотечная система (ЭБС) ООО «Издательский Дом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ИНФРА-М». – URL: http://repository.vzfei.ru. Доступ по логину и паролю.</w:t>
      </w:r>
    </w:p>
    <w:p w14:paraId="7C669C8E" w14:textId="5C394B2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7. Электронные каталоги АИБС МАРК-SQL: «Книги», «Статьи»,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«Диссертации», «Учебно-методическая литература», «Авторефераты»,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«Депозитарный фонд». – URL: http://website.vzfei.ru/rus/library/elect_lib.htm.</w:t>
      </w:r>
    </w:p>
    <w:p w14:paraId="07910121" w14:textId="7777777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Периодические издания:</w:t>
      </w:r>
    </w:p>
    <w:p w14:paraId="60E5071C" w14:textId="4E852762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80488E">
        <w:rPr>
          <w:sz w:val="28"/>
          <w:szCs w:val="28"/>
          <w:lang w:eastAsia="en-US"/>
        </w:rPr>
        <w:t>. Журнал «Экономический анализ: теория и практика»</w:t>
      </w:r>
    </w:p>
    <w:p w14:paraId="4D4E98E2" w14:textId="162497BD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80488E">
        <w:rPr>
          <w:sz w:val="28"/>
          <w:szCs w:val="28"/>
          <w:lang w:eastAsia="en-US"/>
        </w:rPr>
        <w:t>. Еженедельник «Экономика и жизнь»</w:t>
      </w:r>
    </w:p>
    <w:p w14:paraId="79ADC413" w14:textId="1DCDFC01" w:rsidR="000B4E0D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80488E">
        <w:rPr>
          <w:sz w:val="28"/>
          <w:szCs w:val="28"/>
          <w:lang w:eastAsia="en-US"/>
        </w:rPr>
        <w:t>. Финансовая газета</w:t>
      </w:r>
    </w:p>
    <w:p w14:paraId="0CC00F54" w14:textId="77777777" w:rsid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8077F2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CB791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077F2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CB791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077F2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CB791C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077F2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CB791C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85904" w14:textId="77777777" w:rsidR="00CB791C" w:rsidRDefault="00CB791C" w:rsidP="00B13937">
      <w:r>
        <w:separator/>
      </w:r>
    </w:p>
  </w:endnote>
  <w:endnote w:type="continuationSeparator" w:id="0">
    <w:p w14:paraId="1525BD21" w14:textId="77777777" w:rsidR="00CB791C" w:rsidRDefault="00CB791C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1FDBA" w14:textId="77777777" w:rsidR="00CB791C" w:rsidRDefault="00CB791C" w:rsidP="00B13937">
      <w:r>
        <w:separator/>
      </w:r>
    </w:p>
  </w:footnote>
  <w:footnote w:type="continuationSeparator" w:id="0">
    <w:p w14:paraId="1E50CD70" w14:textId="77777777" w:rsidR="00CB791C" w:rsidRDefault="00CB791C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7F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CB791C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341677"/>
    <w:rsid w:val="00345E21"/>
    <w:rsid w:val="00374501"/>
    <w:rsid w:val="00422EEA"/>
    <w:rsid w:val="00435DA4"/>
    <w:rsid w:val="00440D09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077F2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A52ED"/>
    <w:rsid w:val="009C3BA8"/>
    <w:rsid w:val="009C648A"/>
    <w:rsid w:val="009E2530"/>
    <w:rsid w:val="00A15AEE"/>
    <w:rsid w:val="00A353AC"/>
    <w:rsid w:val="00A92BF2"/>
    <w:rsid w:val="00A93052"/>
    <w:rsid w:val="00AB0D24"/>
    <w:rsid w:val="00B13937"/>
    <w:rsid w:val="00B358BD"/>
    <w:rsid w:val="00B507F1"/>
    <w:rsid w:val="00B677D7"/>
    <w:rsid w:val="00BC4DD1"/>
    <w:rsid w:val="00BE2D35"/>
    <w:rsid w:val="00C07BE8"/>
    <w:rsid w:val="00C17C70"/>
    <w:rsid w:val="00C90FA5"/>
    <w:rsid w:val="00CB791C"/>
    <w:rsid w:val="00CF1499"/>
    <w:rsid w:val="00D7797F"/>
    <w:rsid w:val="00D9242D"/>
    <w:rsid w:val="00DA6A2C"/>
    <w:rsid w:val="00DD5EC5"/>
    <w:rsid w:val="00E22CE3"/>
    <w:rsid w:val="00E412B9"/>
    <w:rsid w:val="00E4299C"/>
    <w:rsid w:val="00E54E5B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DEE68-2C4D-4F54-AFD6-3571533C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7</cp:revision>
  <cp:lastPrinted>2022-10-18T05:07:00Z</cp:lastPrinted>
  <dcterms:created xsi:type="dcterms:W3CDTF">2024-10-08T09:09:00Z</dcterms:created>
  <dcterms:modified xsi:type="dcterms:W3CDTF">2024-10-10T02:28:00Z</dcterms:modified>
</cp:coreProperties>
</file>